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2458" w14:textId="77777777" w:rsidR="00260461" w:rsidRDefault="002B512F">
      <w:pPr>
        <w:spacing w:after="0" w:line="240" w:lineRule="auto"/>
        <w:rPr>
          <w:rFonts w:ascii="Lato" w:eastAsia="Lato" w:hAnsi="Lato" w:cs="Lato"/>
          <w:b/>
          <w:sz w:val="28"/>
          <w:szCs w:val="28"/>
        </w:rPr>
      </w:pPr>
      <w:r>
        <w:rPr>
          <w:rFonts w:ascii="Lato" w:eastAsia="Lato" w:hAnsi="Lato" w:cs="Lato"/>
          <w:b/>
        </w:rPr>
        <w:t xml:space="preserve">     </w:t>
      </w:r>
      <w:r>
        <w:rPr>
          <w:rFonts w:ascii="Lato" w:eastAsia="Lato" w:hAnsi="Lato" w:cs="Lato"/>
          <w:b/>
        </w:rPr>
        <w:tab/>
      </w:r>
      <w:r>
        <w:rPr>
          <w:rFonts w:ascii="Lato" w:eastAsia="Lato" w:hAnsi="Lato" w:cs="Lato"/>
          <w:b/>
          <w:sz w:val="28"/>
          <w:szCs w:val="28"/>
        </w:rPr>
        <w:t xml:space="preserve">GCBC Sermon Application &amp; Discussion Guide </w:t>
      </w:r>
      <w:r>
        <w:rPr>
          <w:noProof/>
        </w:rPr>
        <w:drawing>
          <wp:anchor distT="0" distB="0" distL="0" distR="0" simplePos="0" relativeHeight="251658240" behindDoc="0" locked="0" layoutInCell="1" hidden="0" allowOverlap="1" wp14:anchorId="1393BFD1" wp14:editId="26326BC6">
            <wp:simplePos x="0" y="0"/>
            <wp:positionH relativeFrom="column">
              <wp:posOffset>0</wp:posOffset>
            </wp:positionH>
            <wp:positionV relativeFrom="paragraph">
              <wp:posOffset>0</wp:posOffset>
            </wp:positionV>
            <wp:extent cx="526694" cy="516396"/>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26694" cy="516396"/>
                    </a:xfrm>
                    <a:prstGeom prst="rect">
                      <a:avLst/>
                    </a:prstGeom>
                    <a:ln/>
                  </pic:spPr>
                </pic:pic>
              </a:graphicData>
            </a:graphic>
          </wp:anchor>
        </w:drawing>
      </w:r>
    </w:p>
    <w:p w14:paraId="4C80369C" w14:textId="77777777" w:rsidR="00260461" w:rsidRDefault="002B512F">
      <w:pPr>
        <w:spacing w:after="0" w:line="240" w:lineRule="auto"/>
        <w:rPr>
          <w:rFonts w:ascii="Lato" w:eastAsia="Lato" w:hAnsi="Lato" w:cs="Lato"/>
          <w:b/>
          <w:sz w:val="28"/>
          <w:szCs w:val="28"/>
        </w:rPr>
      </w:pPr>
      <w:r>
        <w:rPr>
          <w:rFonts w:ascii="Lato" w:eastAsia="Lato" w:hAnsi="Lato" w:cs="Lato"/>
          <w:b/>
          <w:sz w:val="28"/>
          <w:szCs w:val="28"/>
        </w:rPr>
        <w:t xml:space="preserve">         (for individuals, families, small groups, etc.)</w:t>
      </w:r>
      <w:r>
        <w:rPr>
          <w:rFonts w:ascii="Lato" w:eastAsia="Lato" w:hAnsi="Lato" w:cs="Lato"/>
          <w:sz w:val="28"/>
          <w:szCs w:val="28"/>
        </w:rPr>
        <w:t xml:space="preserve"> </w:t>
      </w:r>
    </w:p>
    <w:p w14:paraId="6DBBD536" w14:textId="77777777" w:rsidR="00260461" w:rsidRDefault="002B512F">
      <w:pPr>
        <w:spacing w:after="0" w:line="240" w:lineRule="auto"/>
        <w:rPr>
          <w:rFonts w:ascii="Lato" w:eastAsia="Lato" w:hAnsi="Lato" w:cs="Lato"/>
        </w:rPr>
      </w:pPr>
      <w:r>
        <w:rPr>
          <w:rFonts w:ascii="Lato" w:eastAsia="Lato" w:hAnsi="Lato" w:cs="Lato"/>
        </w:rPr>
        <w:tab/>
      </w:r>
      <w:r>
        <w:rPr>
          <w:rFonts w:ascii="Lato" w:eastAsia="Lato" w:hAnsi="Lato" w:cs="Lato"/>
        </w:rPr>
        <w:t>------------------------------------------------------------------------------------------------</w:t>
      </w:r>
    </w:p>
    <w:p w14:paraId="59EF70F3" w14:textId="2D4025DD" w:rsidR="00260461" w:rsidRDefault="002B512F">
      <w:pPr>
        <w:spacing w:after="0" w:line="240" w:lineRule="auto"/>
        <w:ind w:firstLine="720"/>
        <w:rPr>
          <w:rFonts w:ascii="Lato" w:eastAsia="Lato" w:hAnsi="Lato" w:cs="Lato"/>
        </w:rPr>
      </w:pPr>
      <w:r>
        <w:rPr>
          <w:rFonts w:ascii="Lato" w:eastAsia="Lato" w:hAnsi="Lato" w:cs="Lato"/>
        </w:rPr>
        <w:t xml:space="preserve">             Date: 5/</w:t>
      </w:r>
      <w:r w:rsidR="00592063">
        <w:rPr>
          <w:rFonts w:ascii="Lato" w:eastAsia="Lato" w:hAnsi="Lato" w:cs="Lato"/>
        </w:rPr>
        <w:t>16</w:t>
      </w:r>
      <w:r>
        <w:rPr>
          <w:rFonts w:ascii="Lato" w:eastAsia="Lato" w:hAnsi="Lato" w:cs="Lato"/>
        </w:rPr>
        <w:t xml:space="preserve">/21     </w:t>
      </w:r>
      <w:r>
        <w:rPr>
          <w:rFonts w:ascii="Lato" w:eastAsia="Lato" w:hAnsi="Lato" w:cs="Lato"/>
        </w:rPr>
        <w:tab/>
      </w:r>
    </w:p>
    <w:p w14:paraId="51CD0FB0" w14:textId="3ECD61A1" w:rsidR="00260461" w:rsidRDefault="002B512F">
      <w:pPr>
        <w:spacing w:after="0" w:line="240" w:lineRule="auto"/>
        <w:rPr>
          <w:rFonts w:ascii="Lato" w:eastAsia="Lato" w:hAnsi="Lato" w:cs="Lato"/>
        </w:rPr>
      </w:pPr>
      <w:r>
        <w:rPr>
          <w:rFonts w:ascii="Lato" w:eastAsia="Lato" w:hAnsi="Lato" w:cs="Lato"/>
        </w:rPr>
        <w:t xml:space="preserve">                          </w:t>
      </w:r>
      <w:r w:rsidR="00592063">
        <w:rPr>
          <w:rFonts w:ascii="Lato" w:eastAsia="Lato" w:hAnsi="Lato" w:cs="Lato"/>
        </w:rPr>
        <w:t xml:space="preserve">    </w:t>
      </w:r>
      <w:r>
        <w:rPr>
          <w:rFonts w:ascii="Lato" w:eastAsia="Lato" w:hAnsi="Lato" w:cs="Lato"/>
        </w:rPr>
        <w:t>Text and Title: Colossians 4:</w:t>
      </w:r>
      <w:r w:rsidR="00592063">
        <w:rPr>
          <w:rFonts w:ascii="Lato" w:eastAsia="Lato" w:hAnsi="Lato" w:cs="Lato"/>
        </w:rPr>
        <w:t>12-18</w:t>
      </w:r>
      <w:r>
        <w:rPr>
          <w:rFonts w:ascii="Lato" w:eastAsia="Lato" w:hAnsi="Lato" w:cs="Lato"/>
        </w:rPr>
        <w:t xml:space="preserve"> – "</w:t>
      </w:r>
      <w:r w:rsidR="00592063">
        <w:rPr>
          <w:rFonts w:ascii="Lato" w:eastAsia="Lato" w:hAnsi="Lato" w:cs="Lato"/>
        </w:rPr>
        <w:t>Teammates Needed</w:t>
      </w:r>
      <w:r>
        <w:rPr>
          <w:rFonts w:ascii="Lato" w:eastAsia="Lato" w:hAnsi="Lato" w:cs="Lato"/>
        </w:rPr>
        <w:t>"</w:t>
      </w:r>
    </w:p>
    <w:p w14:paraId="42DFC4FA" w14:textId="77777777" w:rsidR="00260461" w:rsidRDefault="002B512F">
      <w:pPr>
        <w:spacing w:after="0" w:line="240" w:lineRule="auto"/>
        <w:ind w:left="1440" w:firstLine="720"/>
        <w:rPr>
          <w:rFonts w:ascii="Lato" w:eastAsia="Lato" w:hAnsi="Lato" w:cs="Lato"/>
        </w:rPr>
      </w:pPr>
      <w:r>
        <w:rPr>
          <w:rFonts w:ascii="Lato" w:eastAsia="Lato" w:hAnsi="Lato" w:cs="Lato"/>
        </w:rPr>
        <w:t xml:space="preserve">   </w:t>
      </w:r>
      <w:r>
        <w:rPr>
          <w:rFonts w:ascii="Lato" w:eastAsia="Lato" w:hAnsi="Lato" w:cs="Lato"/>
        </w:rPr>
        <w:tab/>
      </w:r>
    </w:p>
    <w:tbl>
      <w:tblPr>
        <w:tblStyle w:val="a0"/>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260461" w14:paraId="1DE34647" w14:textId="77777777">
        <w:tc>
          <w:tcPr>
            <w:tcW w:w="10620" w:type="dxa"/>
          </w:tcPr>
          <w:p w14:paraId="1D949632" w14:textId="77777777" w:rsidR="00260461" w:rsidRDefault="002B512F">
            <w:pPr>
              <w:rPr>
                <w:rFonts w:ascii="Lato" w:eastAsia="Lato" w:hAnsi="Lato" w:cs="Lato"/>
              </w:rPr>
            </w:pPr>
            <w:r>
              <w:rPr>
                <w:rFonts w:ascii="Lato" w:eastAsia="Lato" w:hAnsi="Lato" w:cs="Lato"/>
                <w:u w:val="single"/>
              </w:rPr>
              <w:t>What to do right after the</w:t>
            </w:r>
            <w:r>
              <w:rPr>
                <w:rFonts w:ascii="Lato" w:eastAsia="Lato" w:hAnsi="Lato" w:cs="Lato"/>
                <w:u w:val="single"/>
              </w:rPr>
              <w:t xml:space="preserve"> service to help “the Word dwell more richly,” within us (Colossians 3:16)</w:t>
            </w:r>
            <w:r>
              <w:rPr>
                <w:rFonts w:ascii="Lato" w:eastAsia="Lato" w:hAnsi="Lato" w:cs="Lato"/>
              </w:rPr>
              <w:t>:</w:t>
            </w:r>
          </w:p>
          <w:p w14:paraId="6852BACD" w14:textId="77777777" w:rsidR="00260461" w:rsidRDefault="00260461">
            <w:pPr>
              <w:rPr>
                <w:rFonts w:ascii="Lato" w:eastAsia="Lato" w:hAnsi="Lato" w:cs="Lato"/>
              </w:rPr>
            </w:pPr>
          </w:p>
          <w:p w14:paraId="48D544FB" w14:textId="77777777" w:rsidR="00260461" w:rsidRDefault="002B512F">
            <w:pPr>
              <w:shd w:val="clear" w:color="auto" w:fill="FFFFFF"/>
              <w:ind w:left="252"/>
              <w:rPr>
                <w:rFonts w:ascii="Lato" w:eastAsia="Lato" w:hAnsi="Lato" w:cs="Lato"/>
              </w:rPr>
            </w:pPr>
            <w:r>
              <w:rPr>
                <w:rFonts w:ascii="Lato" w:eastAsia="Lato" w:hAnsi="Lato" w:cs="Lato"/>
              </w:rPr>
              <w:t>1. Instead of rushing off after the service is over, or talking about the latest news, develop the habit of talking about the sermon with people after church. Start spiritual conv</w:t>
            </w:r>
            <w:r>
              <w:rPr>
                <w:rFonts w:ascii="Lato" w:eastAsia="Lato" w:hAnsi="Lato" w:cs="Lato"/>
              </w:rPr>
              <w:t>ersations by asking, “How did the Scripture challenge or speak to you today?” Or “what about God in the message encouraged you?”</w:t>
            </w:r>
          </w:p>
          <w:p w14:paraId="38C42A59" w14:textId="77777777" w:rsidR="00260461" w:rsidRDefault="00260461">
            <w:pPr>
              <w:shd w:val="clear" w:color="auto" w:fill="FFFFFF"/>
              <w:rPr>
                <w:rFonts w:ascii="Lato" w:eastAsia="Lato" w:hAnsi="Lato" w:cs="Lato"/>
              </w:rPr>
            </w:pPr>
          </w:p>
          <w:p w14:paraId="58997804" w14:textId="77777777" w:rsidR="00260461" w:rsidRDefault="002B512F">
            <w:pPr>
              <w:shd w:val="clear" w:color="auto" w:fill="FFFFFF"/>
              <w:ind w:left="252"/>
              <w:rPr>
                <w:rFonts w:ascii="Lato" w:eastAsia="Lato" w:hAnsi="Lato" w:cs="Lato"/>
              </w:rPr>
            </w:pPr>
            <w:r>
              <w:rPr>
                <w:rFonts w:ascii="Lato" w:eastAsia="Lato" w:hAnsi="Lato" w:cs="Lato"/>
              </w:rPr>
              <w:t>2. Encourage someone by sharing things you learned about God from His Word during the sermon. Make note of how your thinking h</w:t>
            </w:r>
            <w:r>
              <w:rPr>
                <w:rFonts w:ascii="Lato" w:eastAsia="Lato" w:hAnsi="Lato" w:cs="Lato"/>
              </w:rPr>
              <w:t>as changed. Don’t let biblical teaching be a one-time event that fades from memory as soon as it is over (</w:t>
            </w:r>
            <w:hyperlink r:id="rId7">
              <w:r>
                <w:rPr>
                  <w:rFonts w:ascii="Lato" w:eastAsia="Lato" w:hAnsi="Lato" w:cs="Lato"/>
                </w:rPr>
                <w:t>James 1:22-25</w:t>
              </w:r>
            </w:hyperlink>
            <w:r>
              <w:rPr>
                <w:rFonts w:ascii="Lato" w:eastAsia="Lato" w:hAnsi="Lato" w:cs="Lato"/>
              </w:rPr>
              <w:t>). Choose one or two particular applications to share</w:t>
            </w:r>
          </w:p>
          <w:p w14:paraId="129E0992" w14:textId="77777777" w:rsidR="00260461" w:rsidRDefault="002B512F">
            <w:pPr>
              <w:shd w:val="clear" w:color="auto" w:fill="FFFFFF"/>
              <w:ind w:left="252"/>
              <w:jc w:val="right"/>
              <w:rPr>
                <w:rFonts w:ascii="Lato" w:eastAsia="Lato" w:hAnsi="Lato" w:cs="Lato"/>
              </w:rPr>
            </w:pPr>
            <w:r>
              <w:rPr>
                <w:rFonts w:ascii="Lato" w:eastAsia="Lato" w:hAnsi="Lato" w:cs="Lato"/>
              </w:rPr>
              <w:t xml:space="preserve">[Above from book </w:t>
            </w:r>
            <w:r>
              <w:rPr>
                <w:rFonts w:ascii="Lato" w:eastAsia="Lato" w:hAnsi="Lato" w:cs="Lato"/>
                <w:i/>
              </w:rPr>
              <w:t>Ni</w:t>
            </w:r>
            <w:r>
              <w:rPr>
                <w:rFonts w:ascii="Lato" w:eastAsia="Lato" w:hAnsi="Lato" w:cs="Lato"/>
                <w:i/>
              </w:rPr>
              <w:t>ne Marks of a Healthy Church Member</w:t>
            </w:r>
            <w:r>
              <w:rPr>
                <w:rFonts w:ascii="Lato" w:eastAsia="Lato" w:hAnsi="Lato" w:cs="Lato"/>
              </w:rPr>
              <w:t>]</w:t>
            </w:r>
          </w:p>
          <w:p w14:paraId="53E1F0E4" w14:textId="77777777" w:rsidR="00260461" w:rsidRDefault="00260461">
            <w:pPr>
              <w:shd w:val="clear" w:color="auto" w:fill="FFFFFF"/>
              <w:ind w:left="252"/>
              <w:jc w:val="right"/>
              <w:rPr>
                <w:rFonts w:ascii="Lato" w:eastAsia="Lato" w:hAnsi="Lato" w:cs="Lato"/>
              </w:rPr>
            </w:pPr>
          </w:p>
        </w:tc>
      </w:tr>
    </w:tbl>
    <w:p w14:paraId="330BD767" w14:textId="77777777" w:rsidR="00260461" w:rsidRDefault="002B512F">
      <w:pPr>
        <w:spacing w:after="0" w:line="240" w:lineRule="auto"/>
        <w:ind w:left="720" w:firstLine="720"/>
        <w:rPr>
          <w:rFonts w:ascii="Lato" w:eastAsia="Lato" w:hAnsi="Lato" w:cs="Lato"/>
        </w:rPr>
      </w:pPr>
      <w:r>
        <w:rPr>
          <w:rFonts w:ascii="Lato" w:eastAsia="Lato" w:hAnsi="Lato" w:cs="Lato"/>
        </w:rPr>
        <w:t xml:space="preserve">  </w:t>
      </w:r>
    </w:p>
    <w:p w14:paraId="68535A70" w14:textId="77777777" w:rsidR="00260461" w:rsidRDefault="00260461">
      <w:pPr>
        <w:spacing w:after="0" w:line="240" w:lineRule="auto"/>
        <w:rPr>
          <w:rFonts w:ascii="Lato" w:eastAsia="Lato" w:hAnsi="Lato" w:cs="Lato"/>
          <w:u w:val="single"/>
        </w:rPr>
      </w:pPr>
    </w:p>
    <w:p w14:paraId="60C17A97" w14:textId="77777777" w:rsidR="00260461" w:rsidRDefault="002B512F">
      <w:pPr>
        <w:spacing w:after="0" w:line="240" w:lineRule="auto"/>
        <w:rPr>
          <w:rFonts w:ascii="Lato" w:eastAsia="Lato" w:hAnsi="Lato" w:cs="Lato"/>
          <w:u w:val="single"/>
        </w:rPr>
      </w:pPr>
      <w:r>
        <w:rPr>
          <w:rFonts w:ascii="Lato" w:eastAsia="Lato" w:hAnsi="Lato" w:cs="Lato"/>
          <w:u w:val="single"/>
        </w:rPr>
        <w:t>For further Application, Meditation and Conversation on today’s text:</w:t>
      </w:r>
    </w:p>
    <w:p w14:paraId="7988CF04" w14:textId="77777777" w:rsidR="00260461" w:rsidRDefault="00260461">
      <w:pPr>
        <w:spacing w:after="0" w:line="240" w:lineRule="auto"/>
        <w:rPr>
          <w:rFonts w:ascii="Lato" w:eastAsia="Lato" w:hAnsi="Lato" w:cs="Lato"/>
          <w:u w:val="single"/>
        </w:rPr>
      </w:pPr>
    </w:p>
    <w:p w14:paraId="2CBA7766" w14:textId="77777777" w:rsidR="00592063" w:rsidRDefault="00592063">
      <w:pPr>
        <w:numPr>
          <w:ilvl w:val="0"/>
          <w:numId w:val="1"/>
        </w:numPr>
        <w:pBdr>
          <w:top w:val="nil"/>
          <w:left w:val="nil"/>
          <w:bottom w:val="nil"/>
          <w:right w:val="nil"/>
          <w:between w:val="nil"/>
        </w:pBdr>
        <w:spacing w:after="0"/>
        <w:rPr>
          <w:rFonts w:ascii="Lato" w:eastAsia="Lato" w:hAnsi="Lato" w:cs="Lato"/>
          <w:color w:val="000000"/>
        </w:rPr>
      </w:pPr>
      <w:r>
        <w:rPr>
          <w:rFonts w:ascii="Lato" w:eastAsia="Lato" w:hAnsi="Lato" w:cs="Lato"/>
          <w:color w:val="000000"/>
        </w:rPr>
        <w:t>How does the concept of teamwork in sports help you understand how Paul spoke of his teammates in ministry? What’s helpful in that analogy and how might you add to it for those you need in your life?</w:t>
      </w:r>
    </w:p>
    <w:p w14:paraId="2F5792AA" w14:textId="6A0252AC" w:rsidR="00592063" w:rsidRDefault="00592063" w:rsidP="00592063">
      <w:pPr>
        <w:pBdr>
          <w:top w:val="nil"/>
          <w:left w:val="nil"/>
          <w:bottom w:val="nil"/>
          <w:right w:val="nil"/>
          <w:between w:val="nil"/>
        </w:pBdr>
        <w:spacing w:after="0"/>
        <w:rPr>
          <w:rFonts w:ascii="Lato" w:eastAsia="Lato" w:hAnsi="Lato" w:cs="Lato"/>
          <w:color w:val="000000"/>
        </w:rPr>
      </w:pPr>
    </w:p>
    <w:p w14:paraId="762A770F" w14:textId="77777777" w:rsidR="00592063" w:rsidRDefault="00592063" w:rsidP="00592063">
      <w:pPr>
        <w:pBdr>
          <w:top w:val="nil"/>
          <w:left w:val="nil"/>
          <w:bottom w:val="nil"/>
          <w:right w:val="nil"/>
          <w:between w:val="nil"/>
        </w:pBdr>
        <w:spacing w:after="0"/>
        <w:rPr>
          <w:rFonts w:ascii="Lato" w:eastAsia="Lato" w:hAnsi="Lato" w:cs="Lato"/>
          <w:color w:val="000000"/>
        </w:rPr>
      </w:pPr>
    </w:p>
    <w:p w14:paraId="6469FC3E" w14:textId="77777777" w:rsidR="00592063" w:rsidRDefault="00592063" w:rsidP="00592063">
      <w:pPr>
        <w:pBdr>
          <w:top w:val="nil"/>
          <w:left w:val="nil"/>
          <w:bottom w:val="nil"/>
          <w:right w:val="nil"/>
          <w:between w:val="nil"/>
        </w:pBdr>
        <w:spacing w:after="0"/>
        <w:rPr>
          <w:rFonts w:ascii="Lato" w:eastAsia="Lato" w:hAnsi="Lato" w:cs="Lato"/>
          <w:color w:val="000000"/>
        </w:rPr>
      </w:pPr>
    </w:p>
    <w:p w14:paraId="4FE67470" w14:textId="2DDC348A" w:rsidR="00592063" w:rsidRDefault="00592063">
      <w:pPr>
        <w:numPr>
          <w:ilvl w:val="0"/>
          <w:numId w:val="1"/>
        </w:numPr>
        <w:pBdr>
          <w:top w:val="nil"/>
          <w:left w:val="nil"/>
          <w:bottom w:val="nil"/>
          <w:right w:val="nil"/>
          <w:between w:val="nil"/>
        </w:pBdr>
        <w:spacing w:after="0"/>
        <w:rPr>
          <w:rFonts w:ascii="Lato" w:eastAsia="Lato" w:hAnsi="Lato" w:cs="Lato"/>
          <w:color w:val="000000"/>
        </w:rPr>
      </w:pPr>
      <w:r>
        <w:rPr>
          <w:rFonts w:ascii="Lato" w:eastAsia="Lato" w:hAnsi="Lato" w:cs="Lato"/>
          <w:color w:val="000000"/>
        </w:rPr>
        <w:t xml:space="preserve">How can messages and passages like this help you think about less known names included in scripture? How might you encourage someone who’s less upfront or less known in your church? </w:t>
      </w:r>
    </w:p>
    <w:p w14:paraId="4A432FA6" w14:textId="56266DD6" w:rsidR="00592063" w:rsidRDefault="00592063" w:rsidP="00592063">
      <w:pPr>
        <w:pBdr>
          <w:top w:val="nil"/>
          <w:left w:val="nil"/>
          <w:bottom w:val="nil"/>
          <w:right w:val="nil"/>
          <w:between w:val="nil"/>
        </w:pBdr>
        <w:spacing w:after="0"/>
        <w:ind w:left="720"/>
        <w:rPr>
          <w:rFonts w:ascii="Lato" w:eastAsia="Lato" w:hAnsi="Lato" w:cs="Lato"/>
          <w:color w:val="000000"/>
        </w:rPr>
      </w:pPr>
    </w:p>
    <w:p w14:paraId="1B50A075"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0C14E7C3"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6544C69D" w14:textId="77777777" w:rsidR="00592063" w:rsidRDefault="00592063">
      <w:pPr>
        <w:numPr>
          <w:ilvl w:val="0"/>
          <w:numId w:val="1"/>
        </w:numPr>
        <w:pBdr>
          <w:top w:val="nil"/>
          <w:left w:val="nil"/>
          <w:bottom w:val="nil"/>
          <w:right w:val="nil"/>
          <w:between w:val="nil"/>
        </w:pBdr>
        <w:spacing w:after="0"/>
        <w:rPr>
          <w:rFonts w:ascii="Lato" w:eastAsia="Lato" w:hAnsi="Lato" w:cs="Lato"/>
          <w:color w:val="000000"/>
        </w:rPr>
      </w:pPr>
      <w:r>
        <w:rPr>
          <w:rFonts w:ascii="Lato" w:eastAsia="Lato" w:hAnsi="Lato" w:cs="Lato"/>
          <w:color w:val="000000"/>
        </w:rPr>
        <w:t>In v. 12 what stands out to you about Epaphras? What convicts you most and how can you grow in that?</w:t>
      </w:r>
    </w:p>
    <w:p w14:paraId="633CBD3D"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00192193" w14:textId="7F2869B0" w:rsidR="00592063" w:rsidRDefault="00592063" w:rsidP="00592063">
      <w:pPr>
        <w:pBdr>
          <w:top w:val="nil"/>
          <w:left w:val="nil"/>
          <w:bottom w:val="nil"/>
          <w:right w:val="nil"/>
          <w:between w:val="nil"/>
        </w:pBdr>
        <w:spacing w:after="0"/>
        <w:ind w:left="720"/>
        <w:rPr>
          <w:rFonts w:ascii="Lato" w:eastAsia="Lato" w:hAnsi="Lato" w:cs="Lato"/>
          <w:color w:val="000000"/>
        </w:rPr>
      </w:pPr>
    </w:p>
    <w:p w14:paraId="4C6B8630"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511D5C58" w14:textId="77777777" w:rsidR="00592063" w:rsidRDefault="00592063">
      <w:pPr>
        <w:numPr>
          <w:ilvl w:val="0"/>
          <w:numId w:val="1"/>
        </w:numPr>
        <w:pBdr>
          <w:top w:val="nil"/>
          <w:left w:val="nil"/>
          <w:bottom w:val="nil"/>
          <w:right w:val="nil"/>
          <w:between w:val="nil"/>
        </w:pBdr>
        <w:spacing w:after="0"/>
        <w:rPr>
          <w:rFonts w:ascii="Lato" w:eastAsia="Lato" w:hAnsi="Lato" w:cs="Lato"/>
          <w:color w:val="000000"/>
        </w:rPr>
      </w:pPr>
      <w:r>
        <w:rPr>
          <w:rFonts w:ascii="Lato" w:eastAsia="Lato" w:hAnsi="Lato" w:cs="Lato"/>
          <w:color w:val="000000"/>
        </w:rPr>
        <w:t xml:space="preserve">As you read v. 13, who do you think of who works hard for others. How can you encourage him or her? </w:t>
      </w:r>
    </w:p>
    <w:p w14:paraId="520756D6" w14:textId="5407C603" w:rsidR="00592063" w:rsidRDefault="00592063" w:rsidP="00592063">
      <w:pPr>
        <w:pBdr>
          <w:top w:val="nil"/>
          <w:left w:val="nil"/>
          <w:bottom w:val="nil"/>
          <w:right w:val="nil"/>
          <w:between w:val="nil"/>
        </w:pBdr>
        <w:spacing w:after="0"/>
        <w:ind w:left="720"/>
        <w:rPr>
          <w:rFonts w:ascii="Lato" w:eastAsia="Lato" w:hAnsi="Lato" w:cs="Lato"/>
          <w:color w:val="000000"/>
        </w:rPr>
      </w:pPr>
    </w:p>
    <w:p w14:paraId="4944547B"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225A8202"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2B4CF6F1" w14:textId="77777777" w:rsidR="00592063" w:rsidRDefault="00592063">
      <w:pPr>
        <w:numPr>
          <w:ilvl w:val="0"/>
          <w:numId w:val="1"/>
        </w:numPr>
        <w:pBdr>
          <w:top w:val="nil"/>
          <w:left w:val="nil"/>
          <w:bottom w:val="nil"/>
          <w:right w:val="nil"/>
          <w:between w:val="nil"/>
        </w:pBdr>
        <w:spacing w:after="0"/>
        <w:rPr>
          <w:rFonts w:ascii="Lato" w:eastAsia="Lato" w:hAnsi="Lato" w:cs="Lato"/>
          <w:color w:val="000000"/>
        </w:rPr>
      </w:pPr>
      <w:r>
        <w:rPr>
          <w:rFonts w:ascii="Lato" w:eastAsia="Lato" w:hAnsi="Lato" w:cs="Lato"/>
          <w:color w:val="000000"/>
        </w:rPr>
        <w:t xml:space="preserve">Thinking of Luke’s example in v. 14, what are some ways you’ve seen non-pastors use their profession or vocation to serve the Lord? What’s a gift or skill God has given you that you can use to serve Him? </w:t>
      </w:r>
    </w:p>
    <w:p w14:paraId="182556D6"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4FD2881A" w14:textId="5D69C208" w:rsidR="00592063" w:rsidRDefault="00592063" w:rsidP="00592063">
      <w:pPr>
        <w:pBdr>
          <w:top w:val="nil"/>
          <w:left w:val="nil"/>
          <w:bottom w:val="nil"/>
          <w:right w:val="nil"/>
          <w:between w:val="nil"/>
        </w:pBdr>
        <w:spacing w:after="0"/>
        <w:ind w:left="720"/>
        <w:rPr>
          <w:rFonts w:ascii="Lato" w:eastAsia="Lato" w:hAnsi="Lato" w:cs="Lato"/>
          <w:color w:val="000000"/>
        </w:rPr>
      </w:pPr>
    </w:p>
    <w:p w14:paraId="3D459475" w14:textId="77777777" w:rsidR="00592063" w:rsidRDefault="00592063" w:rsidP="00592063">
      <w:pPr>
        <w:pBdr>
          <w:top w:val="nil"/>
          <w:left w:val="nil"/>
          <w:bottom w:val="nil"/>
          <w:right w:val="nil"/>
          <w:between w:val="nil"/>
        </w:pBdr>
        <w:spacing w:after="0"/>
        <w:ind w:left="720"/>
        <w:rPr>
          <w:rFonts w:ascii="Lato" w:eastAsia="Lato" w:hAnsi="Lato" w:cs="Lato"/>
          <w:color w:val="000000"/>
        </w:rPr>
      </w:pPr>
    </w:p>
    <w:p w14:paraId="4FB5FC10" w14:textId="3F018432" w:rsidR="00260461" w:rsidRDefault="00592063">
      <w:pPr>
        <w:numPr>
          <w:ilvl w:val="0"/>
          <w:numId w:val="1"/>
        </w:numPr>
        <w:pBdr>
          <w:top w:val="nil"/>
          <w:left w:val="nil"/>
          <w:bottom w:val="nil"/>
          <w:right w:val="nil"/>
          <w:between w:val="nil"/>
        </w:pBdr>
        <w:rPr>
          <w:rFonts w:ascii="Lato" w:eastAsia="Lato" w:hAnsi="Lato" w:cs="Lato"/>
          <w:color w:val="000000"/>
        </w:rPr>
      </w:pPr>
      <w:r>
        <w:rPr>
          <w:rFonts w:ascii="Lato" w:eastAsia="Lato" w:hAnsi="Lato" w:cs="Lato"/>
          <w:color w:val="000000"/>
        </w:rPr>
        <w:t>How might the warning of Demas (2 Timothy 4</w:t>
      </w:r>
      <w:r w:rsidR="002B512F">
        <w:rPr>
          <w:rFonts w:ascii="Lato" w:eastAsia="Lato" w:hAnsi="Lato" w:cs="Lato"/>
          <w:color w:val="000000"/>
        </w:rPr>
        <w:t>:10, 1 John 2:15) play out in our day? What’s the cure?</w:t>
      </w:r>
    </w:p>
    <w:p w14:paraId="38394D21" w14:textId="05DABE7A" w:rsidR="002B512F" w:rsidRDefault="002B512F" w:rsidP="002B512F">
      <w:pPr>
        <w:pBdr>
          <w:top w:val="nil"/>
          <w:left w:val="nil"/>
          <w:bottom w:val="nil"/>
          <w:right w:val="nil"/>
          <w:between w:val="nil"/>
        </w:pBdr>
        <w:rPr>
          <w:rFonts w:ascii="Lato" w:eastAsia="Lato" w:hAnsi="Lato" w:cs="Lato"/>
          <w:color w:val="000000"/>
        </w:rPr>
      </w:pPr>
    </w:p>
    <w:p w14:paraId="33C9FBBA" w14:textId="77777777" w:rsidR="002B512F" w:rsidRDefault="002B512F" w:rsidP="002B512F">
      <w:pPr>
        <w:pBdr>
          <w:top w:val="nil"/>
          <w:left w:val="nil"/>
          <w:bottom w:val="nil"/>
          <w:right w:val="nil"/>
          <w:between w:val="nil"/>
        </w:pBdr>
        <w:rPr>
          <w:rFonts w:ascii="Lato" w:eastAsia="Lato" w:hAnsi="Lato" w:cs="Lato"/>
          <w:color w:val="000000"/>
        </w:rPr>
      </w:pPr>
    </w:p>
    <w:p w14:paraId="63834BD8" w14:textId="63DC967F" w:rsidR="002B512F" w:rsidRPr="002B512F" w:rsidRDefault="002B512F" w:rsidP="002B512F">
      <w:pPr>
        <w:pStyle w:val="ListParagraph"/>
        <w:numPr>
          <w:ilvl w:val="0"/>
          <w:numId w:val="1"/>
        </w:numPr>
        <w:pBdr>
          <w:top w:val="nil"/>
          <w:left w:val="nil"/>
          <w:bottom w:val="nil"/>
          <w:right w:val="nil"/>
          <w:between w:val="nil"/>
        </w:pBdr>
        <w:rPr>
          <w:rFonts w:ascii="Lato" w:eastAsia="Lato" w:hAnsi="Lato" w:cs="Lato"/>
          <w:color w:val="000000"/>
        </w:rPr>
      </w:pPr>
      <w:r w:rsidRPr="002B512F">
        <w:rPr>
          <w:rFonts w:ascii="Lato" w:eastAsia="Lato" w:hAnsi="Lato" w:cs="Lato"/>
          <w:color w:val="000000"/>
        </w:rPr>
        <w:t>What stands out to you from the closing exhortations in v. 15-18? How can you exhort others in that?</w:t>
      </w:r>
    </w:p>
    <w:sectPr w:rsidR="002B512F" w:rsidRPr="002B512F">
      <w:pgSz w:w="12240" w:h="15840"/>
      <w:pgMar w:top="72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1D89"/>
    <w:multiLevelType w:val="multilevel"/>
    <w:tmpl w:val="A0B49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61"/>
    <w:rsid w:val="00260461"/>
    <w:rsid w:val="002B512F"/>
    <w:rsid w:val="00592063"/>
    <w:rsid w:val="0069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2DD3"/>
  <w15:docId w15:val="{98020F1E-58BA-4099-9996-CDE99DB4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F80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03E"/>
    <w:rPr>
      <w:sz w:val="20"/>
      <w:szCs w:val="20"/>
    </w:rPr>
  </w:style>
  <w:style w:type="character" w:styleId="FootnoteReference">
    <w:name w:val="footnote reference"/>
    <w:basedOn w:val="DefaultParagraphFont"/>
    <w:uiPriority w:val="99"/>
    <w:semiHidden/>
    <w:unhideWhenUsed/>
    <w:rsid w:val="00F8003E"/>
    <w:rPr>
      <w:vertAlign w:val="superscript"/>
    </w:rPr>
  </w:style>
  <w:style w:type="paragraph" w:styleId="ListParagraph">
    <w:name w:val="List Paragraph"/>
    <w:basedOn w:val="Normal"/>
    <w:uiPriority w:val="34"/>
    <w:qFormat/>
    <w:rsid w:val="00F8003E"/>
    <w:pPr>
      <w:ind w:left="720"/>
      <w:contextualSpacing/>
    </w:pPr>
  </w:style>
  <w:style w:type="paragraph" w:styleId="NormalWeb">
    <w:name w:val="Normal (Web)"/>
    <w:basedOn w:val="Normal"/>
    <w:uiPriority w:val="99"/>
    <w:semiHidden/>
    <w:unhideWhenUsed/>
    <w:rsid w:val="00273DB5"/>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8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43B"/>
    <w:rPr>
      <w:color w:val="0563C1" w:themeColor="hyperlink"/>
      <w:u w:val="single"/>
    </w:rPr>
  </w:style>
  <w:style w:type="character" w:styleId="UnresolvedMention">
    <w:name w:val="Unresolved Mention"/>
    <w:basedOn w:val="DefaultParagraphFont"/>
    <w:uiPriority w:val="99"/>
    <w:semiHidden/>
    <w:unhideWhenUsed/>
    <w:rsid w:val="0057743B"/>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blia.com/bible/esv/James%201.22-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CKkfPOta5QqRKPyxXI9pWyIr3w==">AMUW2mX/NzJZ8kPY3K1Ph23QQWKeom6Nam1tss0dP2g+fCiNQwyaGDfyGoOrXkN0o59iAI4q0cRqrSz+LF7i63zK02qWPx7uy2h3IXt0WvSDUQKFmWjptYg=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Millican</dc:creator>
  <cp:lastModifiedBy>Phil Layton</cp:lastModifiedBy>
  <cp:revision>3</cp:revision>
  <dcterms:created xsi:type="dcterms:W3CDTF">2021-05-14T21:13:00Z</dcterms:created>
  <dcterms:modified xsi:type="dcterms:W3CDTF">2021-05-14T21:35:00Z</dcterms:modified>
</cp:coreProperties>
</file>