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Lato" w:cs="Lato" w:eastAsia="Lato" w:hAnsi="Lato"/>
        </w:rPr>
      </w:pPr>
      <w:r w:rsidDel="00000000" w:rsidR="00000000" w:rsidRPr="00000000">
        <w:rPr>
          <w:rtl w:val="0"/>
        </w:rPr>
      </w:r>
    </w:p>
    <w:p w:rsidR="00000000" w:rsidDel="00000000" w:rsidP="00000000" w:rsidRDefault="00000000" w:rsidRPr="00000000" w14:paraId="00000002">
      <w:pPr>
        <w:spacing w:after="0" w:line="240" w:lineRule="auto"/>
        <w:jc w:val="center"/>
        <w:rPr>
          <w:rFonts w:ascii="Lato" w:cs="Lato" w:eastAsia="Lato" w:hAnsi="Lato"/>
          <w:color w:val="707070"/>
        </w:rPr>
      </w:pPr>
      <w:r w:rsidDel="00000000" w:rsidR="00000000" w:rsidRPr="00000000">
        <w:rPr>
          <w:rFonts w:ascii="Lato" w:cs="Lato" w:eastAsia="Lato" w:hAnsi="Lato"/>
        </w:rPr>
        <w:drawing>
          <wp:inline distB="0" distT="0" distL="0" distR="0">
            <wp:extent cx="5710555" cy="190627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10555" cy="190627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rFonts w:ascii="Lato" w:cs="Lato" w:eastAsia="Lato" w:hAnsi="Lato"/>
          <w:color w:val="707070"/>
        </w:rPr>
      </w:pPr>
      <w:r w:rsidDel="00000000" w:rsidR="00000000" w:rsidRPr="00000000">
        <w:rPr>
          <w:rtl w:val="0"/>
        </w:rPr>
      </w:r>
    </w:p>
    <w:tbl>
      <w:tblPr>
        <w:tblStyle w:val="Table1"/>
        <w:tblW w:w="1062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20"/>
        <w:tblGridChange w:id="0">
          <w:tblGrid>
            <w:gridCol w:w="10620"/>
          </w:tblGrid>
        </w:tblGridChange>
      </w:tblGrid>
      <w:tr>
        <w:trPr>
          <w:cantSplit w:val="0"/>
          <w:tblHeader w:val="0"/>
        </w:trPr>
        <w:tc>
          <w:tcPr/>
          <w:p w:rsidR="00000000" w:rsidDel="00000000" w:rsidP="00000000" w:rsidRDefault="00000000" w:rsidRPr="00000000" w14:paraId="00000004">
            <w:pPr>
              <w:rPr>
                <w:rFonts w:ascii="Lato" w:cs="Lato" w:eastAsia="Lato" w:hAnsi="Lato"/>
              </w:rPr>
            </w:pPr>
            <w:r w:rsidDel="00000000" w:rsidR="00000000" w:rsidRPr="00000000">
              <w:rPr>
                <w:rFonts w:ascii="Lato" w:cs="Lato" w:eastAsia="Lato" w:hAnsi="Lato"/>
                <w:u w:val="single"/>
                <w:rtl w:val="0"/>
              </w:rPr>
              <w:t xml:space="preserve">What to do right after the service to help “the Word dwell more richly,” within us (Colossians 3:16)</w:t>
            </w:r>
            <w:r w:rsidDel="00000000" w:rsidR="00000000" w:rsidRPr="00000000">
              <w:rPr>
                <w:rFonts w:ascii="Lato" w:cs="Lato" w:eastAsia="Lato" w:hAnsi="Lato"/>
                <w:rtl w:val="0"/>
              </w:rPr>
              <w:t xml:space="preserve">:</w:t>
            </w:r>
          </w:p>
          <w:p w:rsidR="00000000" w:rsidDel="00000000" w:rsidP="00000000" w:rsidRDefault="00000000" w:rsidRPr="00000000" w14:paraId="00000005">
            <w:pPr>
              <w:shd w:fill="ffffff" w:val="clear"/>
              <w:ind w:left="252" w:firstLine="0"/>
              <w:rPr>
                <w:rFonts w:ascii="Lato" w:cs="Lato" w:eastAsia="Lato" w:hAnsi="Lato"/>
              </w:rPr>
            </w:pPr>
            <w:r w:rsidDel="00000000" w:rsidR="00000000" w:rsidRPr="00000000">
              <w:rPr>
                <w:rFonts w:ascii="Lato" w:cs="Lato" w:eastAsia="Lato" w:hAnsi="Lato"/>
                <w:rtl w:val="0"/>
              </w:rPr>
              <w:t xml:space="preserve">1. Instead of rushing off after the service is over, or talking about the latest news, develop the habit of talking about the sermon with people after church. Start spiritual conversations by asking, “How did the Scripture challenge or speak to you today?” Or “what about God in the message encouraged you?”</w:t>
            </w:r>
          </w:p>
          <w:p w:rsidR="00000000" w:rsidDel="00000000" w:rsidP="00000000" w:rsidRDefault="00000000" w:rsidRPr="00000000" w14:paraId="00000006">
            <w:pPr>
              <w:shd w:fill="ffffff" w:val="clear"/>
              <w:rPr>
                <w:rFonts w:ascii="Lato" w:cs="Lato" w:eastAsia="Lato" w:hAnsi="Lato"/>
              </w:rPr>
            </w:pPr>
            <w:r w:rsidDel="00000000" w:rsidR="00000000" w:rsidRPr="00000000">
              <w:rPr>
                <w:rtl w:val="0"/>
              </w:rPr>
            </w:r>
          </w:p>
          <w:p w:rsidR="00000000" w:rsidDel="00000000" w:rsidP="00000000" w:rsidRDefault="00000000" w:rsidRPr="00000000" w14:paraId="00000007">
            <w:pPr>
              <w:shd w:fill="ffffff" w:val="clear"/>
              <w:ind w:left="252" w:firstLine="0"/>
              <w:rPr>
                <w:rFonts w:ascii="Lato" w:cs="Lato" w:eastAsia="Lato" w:hAnsi="Lato"/>
              </w:rPr>
            </w:pPr>
            <w:r w:rsidDel="00000000" w:rsidR="00000000" w:rsidRPr="00000000">
              <w:rPr>
                <w:rFonts w:ascii="Lato" w:cs="Lato" w:eastAsia="Lato" w:hAnsi="Lato"/>
                <w:rtl w:val="0"/>
              </w:rPr>
              <w:t xml:space="preserve">2. Encourage someone by sharing things you learned about God from His Word during the sermon. Make note of how your thinking has changed. Don’t let biblical teaching be a one-time event that fades from memory as soon as it is over (</w:t>
            </w:r>
            <w:hyperlink r:id="rId9">
              <w:r w:rsidDel="00000000" w:rsidR="00000000" w:rsidRPr="00000000">
                <w:rPr>
                  <w:rFonts w:ascii="Lato" w:cs="Lato" w:eastAsia="Lato" w:hAnsi="Lato"/>
                  <w:rtl w:val="0"/>
                </w:rPr>
                <w:t xml:space="preserve">James 1:22-25</w:t>
              </w:r>
            </w:hyperlink>
            <w:r w:rsidDel="00000000" w:rsidR="00000000" w:rsidRPr="00000000">
              <w:rPr>
                <w:rFonts w:ascii="Lato" w:cs="Lato" w:eastAsia="Lato" w:hAnsi="Lato"/>
                <w:rtl w:val="0"/>
              </w:rPr>
              <w:t xml:space="preserve">). Choose one or two particular applications to share</w:t>
            </w:r>
          </w:p>
          <w:p w:rsidR="00000000" w:rsidDel="00000000" w:rsidP="00000000" w:rsidRDefault="00000000" w:rsidRPr="00000000" w14:paraId="00000008">
            <w:pPr>
              <w:shd w:fill="ffffff" w:val="clear"/>
              <w:ind w:left="252" w:firstLine="0"/>
              <w:jc w:val="right"/>
              <w:rPr>
                <w:rFonts w:ascii="Lato" w:cs="Lato" w:eastAsia="Lato" w:hAnsi="Lato"/>
              </w:rPr>
            </w:pPr>
            <w:r w:rsidDel="00000000" w:rsidR="00000000" w:rsidRPr="00000000">
              <w:rPr>
                <w:rFonts w:ascii="Lato" w:cs="Lato" w:eastAsia="Lato" w:hAnsi="Lato"/>
                <w:rtl w:val="0"/>
              </w:rPr>
              <w:t xml:space="preserve">[Above from book </w:t>
            </w:r>
            <w:r w:rsidDel="00000000" w:rsidR="00000000" w:rsidRPr="00000000">
              <w:rPr>
                <w:rFonts w:ascii="Lato" w:cs="Lato" w:eastAsia="Lato" w:hAnsi="Lato"/>
                <w:i w:val="1"/>
                <w:rtl w:val="0"/>
              </w:rPr>
              <w:t xml:space="preserve">Nine Marks of a Healthy Church Member</w:t>
            </w:r>
            <w:r w:rsidDel="00000000" w:rsidR="00000000" w:rsidRPr="00000000">
              <w:rPr>
                <w:rFonts w:ascii="Lato" w:cs="Lato" w:eastAsia="Lato" w:hAnsi="Lato"/>
                <w:rtl w:val="0"/>
              </w:rPr>
              <w:t xml:space="preserve">]</w:t>
            </w:r>
          </w:p>
        </w:tc>
      </w:tr>
    </w:tbl>
    <w:p w:rsidR="00000000" w:rsidDel="00000000" w:rsidP="00000000" w:rsidRDefault="00000000" w:rsidRPr="00000000" w14:paraId="00000009">
      <w:pPr>
        <w:spacing w:after="0" w:line="240" w:lineRule="auto"/>
        <w:rPr>
          <w:rFonts w:ascii="Lato" w:cs="Lato" w:eastAsia="Lato" w:hAnsi="Lato"/>
        </w:rPr>
      </w:pPr>
      <w:r w:rsidDel="00000000" w:rsidR="00000000" w:rsidRPr="00000000">
        <w:rPr>
          <w:rtl w:val="0"/>
        </w:rPr>
      </w:r>
    </w:p>
    <w:p w:rsidR="00000000" w:rsidDel="00000000" w:rsidP="00000000" w:rsidRDefault="00000000" w:rsidRPr="00000000" w14:paraId="0000000A">
      <w:pPr>
        <w:spacing w:after="0" w:line="240" w:lineRule="auto"/>
        <w:rPr>
          <w:rFonts w:ascii="Lato" w:cs="Lato" w:eastAsia="Lato" w:hAnsi="Lato"/>
          <w:sz w:val="24"/>
          <w:szCs w:val="24"/>
          <w:u w:val="single"/>
        </w:rPr>
      </w:pPr>
      <w:r w:rsidDel="00000000" w:rsidR="00000000" w:rsidRPr="00000000">
        <w:rPr>
          <w:rFonts w:ascii="Lato" w:cs="Lato" w:eastAsia="Lato" w:hAnsi="Lato"/>
          <w:sz w:val="24"/>
          <w:szCs w:val="24"/>
          <w:u w:val="single"/>
          <w:rtl w:val="0"/>
        </w:rPr>
        <w:t xml:space="preserve">For further Application, Meditation and Conversation on today’s text:</w:t>
      </w:r>
    </w:p>
    <w:p w:rsidR="00000000" w:rsidDel="00000000" w:rsidP="00000000" w:rsidRDefault="00000000" w:rsidRPr="00000000" w14:paraId="0000000B">
      <w:pPr>
        <w:spacing w:after="0"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Date: 1/9/2022 – “God’s Attributes, Pt. 2: God The Jealous” (Ex. 34:14)</w:t>
      </w:r>
    </w:p>
    <w:p w:rsidR="00000000" w:rsidDel="00000000" w:rsidP="00000000" w:rsidRDefault="00000000" w:rsidRPr="00000000" w14:paraId="0000000C">
      <w:pPr>
        <w:spacing w:after="0" w:line="240" w:lineRule="auto"/>
        <w:rPr>
          <w:rFonts w:ascii="Lato" w:cs="Lato" w:eastAsia="Lato" w:hAnsi="Lato"/>
          <w:b w:val="1"/>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1. From the message, what does the Bible mean when it says that God is a jealous God?</w:t>
      </w:r>
    </w:p>
    <w:p w:rsidR="00000000" w:rsidDel="00000000" w:rsidP="00000000" w:rsidRDefault="00000000" w:rsidRPr="00000000" w14:paraId="0000000E">
      <w:pPr>
        <w:shd w:fill="ffffff" w:val="clea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0">
      <w:pPr>
        <w:shd w:fill="ffffff" w:val="clea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2. Consider some of the Scripture passages about destructive human jealousy rooted in rage and folly (Job 5:2; Prov. 6:34; 14:20; 24:1; James 3:14, 16). How is God’s jealousy different in its source, motives, manner, and goals? </w:t>
      </w:r>
    </w:p>
    <w:p w:rsidR="00000000" w:rsidDel="00000000" w:rsidP="00000000" w:rsidRDefault="00000000" w:rsidRPr="00000000" w14:paraId="00000011">
      <w:pPr>
        <w:shd w:fill="ffffff" w:val="clea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2">
      <w:pPr>
        <w:shd w:fill="ffffff" w:val="clea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3. How does God’s jealousy help us to differentiate righteous human jealousy from unrighteous human jealousy? </w:t>
      </w:r>
    </w:p>
    <w:p w:rsidR="00000000" w:rsidDel="00000000" w:rsidP="00000000" w:rsidRDefault="00000000" w:rsidRPr="00000000" w14:paraId="00000014">
      <w:pPr>
        <w:shd w:fill="ffffff" w:val="clea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5">
      <w:pPr>
        <w:shd w:fill="ffffff" w:val="clea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6">
      <w:pPr>
        <w:shd w:fill="ffffff" w:val="clea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4. Think of how the Spirit yearns for our friendship with God and convicts us of compromise: </w:t>
      </w:r>
      <w:r w:rsidDel="00000000" w:rsidR="00000000" w:rsidRPr="00000000">
        <w:rPr>
          <w:rFonts w:ascii="Lato" w:cs="Lato" w:eastAsia="Lato" w:hAnsi="Lato"/>
          <w:i w:val="1"/>
          <w:sz w:val="24"/>
          <w:szCs w:val="24"/>
          <w:rtl w:val="0"/>
        </w:rPr>
        <w:t xml:space="preserve">Or do you suppose it is to no purpose that the Scripture says, “He yearns jealously over the spirit that he has made to dwell in us”? </w:t>
      </w:r>
      <w:r w:rsidDel="00000000" w:rsidR="00000000" w:rsidRPr="00000000">
        <w:rPr>
          <w:rFonts w:ascii="Lato" w:cs="Lato" w:eastAsia="Lato" w:hAnsi="Lato"/>
          <w:sz w:val="24"/>
          <w:szCs w:val="24"/>
          <w:rtl w:val="0"/>
        </w:rPr>
        <w:t xml:space="preserve">(James 4:5 ESV). What things, habits, or people in your life hinder your friendship with God? </w:t>
      </w:r>
    </w:p>
    <w:p w:rsidR="00000000" w:rsidDel="00000000" w:rsidP="00000000" w:rsidRDefault="00000000" w:rsidRPr="00000000" w14:paraId="00000017">
      <w:pPr>
        <w:shd w:fill="ffffff" w:val="clea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8">
      <w:pPr>
        <w:shd w:fill="ffffff" w:val="clea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5. How does God’s holy jealousy relate to our need to humble ourselves and pursue holiness? </w:t>
      </w:r>
    </w:p>
    <w:p w:rsidR="00000000" w:rsidDel="00000000" w:rsidP="00000000" w:rsidRDefault="00000000" w:rsidRPr="00000000" w14:paraId="00000019">
      <w:pPr>
        <w:shd w:fill="ffffff" w:val="clea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A">
      <w:pPr>
        <w:shd w:fill="ffffff" w:val="clear"/>
        <w:spacing w:after="0"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6. How does God’s holy jealousy relate to our call to love fellow believers and live in unity with one another? </w:t>
      </w:r>
    </w:p>
    <w:p w:rsidR="00000000" w:rsidDel="00000000" w:rsidP="00000000" w:rsidRDefault="00000000" w:rsidRPr="00000000" w14:paraId="0000001B">
      <w:pPr>
        <w:shd w:fill="ffffff" w:val="clea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C">
      <w:pPr>
        <w:shd w:fill="ffffff" w:val="clear"/>
        <w:spacing w:after="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Lato" w:cs="Lato" w:eastAsia="Lato" w:hAnsi="Lato"/>
          <w:b w:val="0"/>
          <w:i w:val="0"/>
          <w:smallCaps w:val="0"/>
          <w:strike w:val="0"/>
          <w:color w:val="000000"/>
          <w:sz w:val="24"/>
          <w:szCs w:val="24"/>
          <w:u w:val="none"/>
          <w:shd w:fill="auto" w:val="clear"/>
          <w:vertAlign w:val="baseline"/>
        </w:rPr>
      </w:pPr>
      <w:r w:rsidDel="00000000" w:rsidR="00000000" w:rsidRPr="00000000">
        <w:rPr>
          <w:rFonts w:ascii="Lato" w:cs="Lato" w:eastAsia="Lato" w:hAnsi="Lato"/>
          <w:b w:val="0"/>
          <w:i w:val="0"/>
          <w:smallCaps w:val="0"/>
          <w:strike w:val="0"/>
          <w:color w:val="000000"/>
          <w:sz w:val="24"/>
          <w:szCs w:val="24"/>
          <w:u w:val="none"/>
          <w:shd w:fill="auto" w:val="clear"/>
          <w:vertAlign w:val="baseline"/>
          <w:rtl w:val="0"/>
        </w:rPr>
        <w:t xml:space="preserve">Some other Scripture passages on the jealousy of God include: Ex 9:16; Deut 4:23–25; 6:14–15; 29:18–20; 32:16, 21–22; 1 Kings 14:22–23; Ps 78:58; 79:5; Ezek 8:3, 5; 20:14; 23:25; 36:5; 38:19; Joel 2:18; Zeph 1:18; 3:8; Zech 1:14–16; 1 Cor 10:21–22; 2 Cor 11:2; and Heb 10:27.</w:t>
      </w:r>
      <w:r w:rsidDel="00000000" w:rsidR="00000000" w:rsidRPr="00000000">
        <w:rPr>
          <w:rFonts w:ascii="Lato" w:cs="Lato" w:eastAsia="Lato" w:hAnsi="Lato"/>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sectPr>
      <w:pgSz w:h="15840" w:w="12240" w:orient="portrait"/>
      <w:pgMar w:bottom="450" w:top="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0"/>
          <w:i w:val="1"/>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Lato" w:cs="Lato" w:eastAsia="Lato" w:hAnsi="Lato"/>
          <w:b w:val="0"/>
          <w:i w:val="1"/>
          <w:smallCaps w:val="0"/>
          <w:strike w:val="0"/>
          <w:color w:val="000000"/>
          <w:sz w:val="18"/>
          <w:szCs w:val="18"/>
          <w:u w:val="none"/>
          <w:shd w:fill="auto" w:val="clear"/>
          <w:vertAlign w:val="baseline"/>
          <w:rtl w:val="0"/>
        </w:rPr>
        <w:t xml:space="preserve"> Adapted from Beeke, Joel R. “None Else: 31 Meditations on God’s Character and Attributes” (p. 112). Reformation Heritage Books.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56FD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noteText">
    <w:name w:val="footnote text"/>
    <w:basedOn w:val="Normal"/>
    <w:link w:val="FootnoteTextChar"/>
    <w:uiPriority w:val="99"/>
    <w:semiHidden w:val="1"/>
    <w:unhideWhenUsed w:val="1"/>
    <w:rsid w:val="00F8003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F8003E"/>
    <w:rPr>
      <w:sz w:val="20"/>
      <w:szCs w:val="20"/>
    </w:rPr>
  </w:style>
  <w:style w:type="character" w:styleId="FootnoteReference">
    <w:name w:val="footnote reference"/>
    <w:basedOn w:val="DefaultParagraphFont"/>
    <w:uiPriority w:val="99"/>
    <w:semiHidden w:val="1"/>
    <w:unhideWhenUsed w:val="1"/>
    <w:rsid w:val="00F8003E"/>
    <w:rPr>
      <w:vertAlign w:val="superscript"/>
    </w:rPr>
  </w:style>
  <w:style w:type="paragraph" w:styleId="ListParagraph">
    <w:name w:val="List Paragraph"/>
    <w:basedOn w:val="Normal"/>
    <w:uiPriority w:val="34"/>
    <w:qFormat w:val="1"/>
    <w:rsid w:val="00F8003E"/>
    <w:pPr>
      <w:ind w:left="720"/>
      <w:contextualSpacing w:val="1"/>
    </w:pPr>
  </w:style>
  <w:style w:type="paragraph" w:styleId="NormalWeb">
    <w:name w:val="Normal (Web)"/>
    <w:basedOn w:val="Normal"/>
    <w:uiPriority w:val="99"/>
    <w:semiHidden w:val="1"/>
    <w:unhideWhenUsed w:val="1"/>
    <w:rsid w:val="00273DB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180F1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57743B"/>
    <w:rPr>
      <w:color w:val="0563c1" w:themeColor="hyperlink"/>
      <w:u w:val="single"/>
    </w:rPr>
  </w:style>
  <w:style w:type="character" w:styleId="UnresolvedMention">
    <w:name w:val="Unresolved Mention"/>
    <w:basedOn w:val="DefaultParagraphFont"/>
    <w:uiPriority w:val="99"/>
    <w:semiHidden w:val="1"/>
    <w:unhideWhenUsed w:val="1"/>
    <w:rsid w:val="0057743B"/>
    <w:rPr>
      <w:color w:val="605e5c"/>
      <w:shd w:color="auto" w:fill="e1dfdd" w:val="clear"/>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character" w:styleId="style-scope" w:customStyle="1">
    <w:name w:val="style-scope"/>
    <w:basedOn w:val="DefaultParagraphFont"/>
    <w:rsid w:val="00056FD2"/>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iblia.com/bible/esv/James%201.22-25"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n+ndJQUqgW/oq/OtIrHEcnJV5Q==">AMUW2mU0uaYkEfxB2z6z92rQ25uH2Wm8sFENQADVlcB/caIAyyZ/arkPokVT5V3N2zNHMbyOXQRILpdQj2LhM3272hgRmfwE2UMhUCjneQqfEfW1L4H+95c=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2022-01-07T20:05:00Z</dcterms:created>
  <dc:creator>Corey Millican</dc:creator>
</cp:coreProperties>
</file>